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6250ECC4"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B25729" w:rsidRPr="00B25729">
        <w:rPr>
          <w:rFonts w:ascii="Arial" w:hAnsi="Arial" w:cs="Arial"/>
          <w:b/>
          <w:bCs/>
          <w:color w:val="auto"/>
          <w:sz w:val="26"/>
          <w:szCs w:val="26"/>
        </w:rPr>
        <w:t>S2-200</w:t>
      </w:r>
      <w:r w:rsidR="00D01D57">
        <w:rPr>
          <w:rFonts w:ascii="Arial" w:hAnsi="Arial" w:cs="Arial"/>
          <w:b/>
          <w:bCs/>
          <w:color w:val="auto"/>
          <w:sz w:val="26"/>
          <w:szCs w:val="26"/>
        </w:rPr>
        <w:t>8244</w:t>
      </w:r>
      <w:bookmarkStart w:id="0" w:name="_GoBack"/>
      <w:bookmarkEnd w:id="0"/>
    </w:p>
    <w:p w14:paraId="45DD8217" w14:textId="52B31D0E"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352173">
        <w:rPr>
          <w:rFonts w:ascii="Arial" w:hAnsi="Arial" w:cs="Arial"/>
          <w:b/>
          <w:bCs/>
          <w:sz w:val="24"/>
        </w:rPr>
        <w:t xml:space="preserve"> 2020,</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revision of</w:t>
      </w:r>
      <w:r w:rsidR="00D01D57">
        <w:rPr>
          <w:rFonts w:ascii="Arial" w:hAnsi="Arial" w:cs="Arial"/>
          <w:b/>
          <w:bCs/>
          <w:color w:val="0000FF"/>
        </w:rPr>
        <w:t xml:space="preserve"> </w:t>
      </w:r>
      <w:r w:rsidR="00D01D57" w:rsidRPr="00D01D57">
        <w:rPr>
          <w:rFonts w:ascii="Arial" w:hAnsi="Arial" w:cs="Arial"/>
          <w:b/>
          <w:bCs/>
          <w:color w:val="0000FF"/>
        </w:rPr>
        <w:t>S2-2007537</w:t>
      </w:r>
      <w:r w:rsidR="00D01D57">
        <w:rPr>
          <w:rFonts w:ascii="Arial" w:hAnsi="Arial" w:cs="Arial"/>
          <w:b/>
          <w:bCs/>
          <w:color w:val="0000FF"/>
        </w:rPr>
        <w:t xml:space="preserve"> </w:t>
      </w:r>
      <w:r w:rsidR="00B24CE0" w:rsidRPr="00B7628A">
        <w:rPr>
          <w:rFonts w:ascii="Arial" w:hAnsi="Arial" w:cs="Arial"/>
          <w:b/>
          <w:bCs/>
        </w:rPr>
        <w:t>)</w:t>
      </w:r>
    </w:p>
    <w:p w14:paraId="5DD47DA7" w14:textId="3EE3D9F6"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p>
    <w:p w14:paraId="3BE54C94" w14:textId="7A572FC6"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634F9F">
        <w:rPr>
          <w:rFonts w:ascii="Arial" w:hAnsi="Arial" w:cs="Arial"/>
          <w:b/>
        </w:rPr>
        <w:t>KI#3: updated solution</w:t>
      </w:r>
      <w:r w:rsidR="00B25729">
        <w:rPr>
          <w:rFonts w:ascii="Arial" w:hAnsi="Arial" w:cs="Arial"/>
          <w:b/>
        </w:rPr>
        <w:t xml:space="preserve"> </w:t>
      </w:r>
      <w:r w:rsidR="00634F9F">
        <w:rPr>
          <w:rFonts w:ascii="Arial" w:hAnsi="Arial" w:cs="Arial"/>
          <w:b/>
        </w:rPr>
        <w:t xml:space="preserve">22 </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342E6987" w14:textId="7F3CDA8B" w:rsidR="00016C4B" w:rsidRPr="00B7628A" w:rsidRDefault="00F66613" w:rsidP="00016C4B">
      <w:r>
        <w:t>There are some inaccuracies in solution 22 description this P-CR aims at removing.</w:t>
      </w:r>
    </w:p>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6DCC8DB3" w:rsidR="001A0078" w:rsidRPr="00F66613" w:rsidRDefault="00F66613" w:rsidP="00F66613">
      <w:pPr>
        <w:pStyle w:val="Heading1"/>
        <w:rPr>
          <w:color w:val="FF0000"/>
        </w:rPr>
      </w:pPr>
      <w:r w:rsidRPr="00F66613">
        <w:rPr>
          <w:color w:val="FF0000"/>
        </w:rPr>
        <w:t>Proposed text changes</w:t>
      </w:r>
    </w:p>
    <w:p w14:paraId="6514AD86" w14:textId="77777777" w:rsidR="00F66613" w:rsidRPr="00F66613" w:rsidRDefault="00F66613" w:rsidP="00F66613"/>
    <w:p w14:paraId="5902D137" w14:textId="77777777" w:rsidR="00352173" w:rsidRPr="00C87466" w:rsidRDefault="00352173" w:rsidP="00352173">
      <w:pPr>
        <w:pStyle w:val="Heading2"/>
      </w:pPr>
      <w:bookmarkStart w:id="1" w:name="_Toc43483514"/>
      <w:bookmarkStart w:id="2" w:name="_Toc43483808"/>
      <w:bookmarkStart w:id="3" w:name="_Toc50473176"/>
      <w:bookmarkStart w:id="4" w:name="_Toc50539496"/>
      <w:bookmarkStart w:id="5" w:name="_Toc50539886"/>
      <w:r w:rsidRPr="00C87466">
        <w:t>6.22</w:t>
      </w:r>
      <w:r w:rsidRPr="00C87466">
        <w:tab/>
        <w:t>Solution</w:t>
      </w:r>
      <w:r w:rsidRPr="00C87466">
        <w:rPr>
          <w:rFonts w:hint="eastAsia"/>
        </w:rPr>
        <w:t xml:space="preserve"> #</w:t>
      </w:r>
      <w:r w:rsidRPr="00C87466">
        <w:t>22: Solution on limitation of data rate per Network Slice in UL and DL per UE</w:t>
      </w:r>
      <w:bookmarkEnd w:id="1"/>
      <w:bookmarkEnd w:id="2"/>
      <w:bookmarkEnd w:id="3"/>
      <w:bookmarkEnd w:id="4"/>
      <w:bookmarkEnd w:id="5"/>
    </w:p>
    <w:p w14:paraId="5C210EDC" w14:textId="77777777" w:rsidR="00352173" w:rsidRPr="00C87466" w:rsidRDefault="00352173" w:rsidP="00352173">
      <w:pPr>
        <w:pStyle w:val="Heading3"/>
      </w:pPr>
      <w:bookmarkStart w:id="6" w:name="_Toc43483515"/>
      <w:bookmarkStart w:id="7" w:name="_Toc43483809"/>
      <w:bookmarkStart w:id="8" w:name="_Toc50473177"/>
      <w:bookmarkStart w:id="9" w:name="_Toc50539497"/>
      <w:bookmarkStart w:id="10" w:name="_Toc50539887"/>
      <w:bookmarkStart w:id="11" w:name="_Hlk51768389"/>
      <w:r w:rsidRPr="00C87466">
        <w:t>6.22.</w:t>
      </w:r>
      <w:r w:rsidRPr="00C87466">
        <w:rPr>
          <w:rFonts w:hint="eastAsia"/>
        </w:rPr>
        <w:t>1</w:t>
      </w:r>
      <w:r w:rsidRPr="00C87466">
        <w:rPr>
          <w:rFonts w:hint="eastAsia"/>
        </w:rPr>
        <w:tab/>
      </w:r>
      <w:r w:rsidRPr="00C87466">
        <w:t>Introduction</w:t>
      </w:r>
      <w:bookmarkEnd w:id="6"/>
      <w:bookmarkEnd w:id="7"/>
      <w:bookmarkEnd w:id="8"/>
      <w:bookmarkEnd w:id="9"/>
      <w:bookmarkEnd w:id="10"/>
    </w:p>
    <w:p w14:paraId="7B43ECA1" w14:textId="77777777" w:rsidR="00352173" w:rsidRPr="00615544" w:rsidRDefault="00352173" w:rsidP="00352173">
      <w:r w:rsidRPr="00615544">
        <w:t>The related attribute in the GST documented in GSMA is Maximum downlink/uplink throughput per UE. There should be subscribed slice maximum bitrate in the UDM as the attribute is per UE basis and could be used to offer different contract qualities like gold, silver and bronze.</w:t>
      </w:r>
    </w:p>
    <w:bookmarkEnd w:id="11"/>
    <w:p w14:paraId="77D9CD1A" w14:textId="77777777" w:rsidR="00352173" w:rsidRPr="00615544" w:rsidRDefault="00352173" w:rsidP="00352173">
      <w:r w:rsidRPr="00615544">
        <w:t>The maximum data rate supported by the network slice describes the capability (i.e. supported resource) of a network slice. Hence, it should contain both GBR and non-GBR resource types data rate limitation.</w:t>
      </w:r>
    </w:p>
    <w:p w14:paraId="799E5EF2" w14:textId="77777777" w:rsidR="00352173" w:rsidRPr="00C87466" w:rsidRDefault="00352173" w:rsidP="00352173">
      <w:pPr>
        <w:pStyle w:val="Heading3"/>
      </w:pPr>
      <w:bookmarkStart w:id="12" w:name="_Toc43483516"/>
      <w:bookmarkStart w:id="13" w:name="_Toc43483810"/>
      <w:bookmarkStart w:id="14" w:name="_Toc50473178"/>
      <w:bookmarkStart w:id="15" w:name="_Toc50539498"/>
      <w:bookmarkStart w:id="16" w:name="_Toc50539888"/>
      <w:r w:rsidRPr="00C87466">
        <w:t>6.22.2</w:t>
      </w:r>
      <w:r w:rsidRPr="00C87466">
        <w:rPr>
          <w:rFonts w:hint="eastAsia"/>
        </w:rPr>
        <w:tab/>
      </w:r>
      <w:r w:rsidRPr="00C87466">
        <w:t xml:space="preserve">High-level </w:t>
      </w:r>
      <w:r w:rsidRPr="00C87466">
        <w:rPr>
          <w:rFonts w:hint="eastAsia"/>
        </w:rPr>
        <w:t>Description</w:t>
      </w:r>
      <w:bookmarkEnd w:id="12"/>
      <w:bookmarkEnd w:id="13"/>
      <w:bookmarkEnd w:id="14"/>
      <w:bookmarkEnd w:id="15"/>
      <w:bookmarkEnd w:id="16"/>
    </w:p>
    <w:p w14:paraId="4BAD5789" w14:textId="77777777" w:rsidR="00352173" w:rsidRPr="009E0DE1" w:rsidRDefault="00352173" w:rsidP="00352173">
      <w:r w:rsidRPr="009E0DE1">
        <w:t xml:space="preserve">Each </w:t>
      </w:r>
      <w:r>
        <w:t xml:space="preserve">slice (S-NSSAI) per </w:t>
      </w:r>
      <w:r w:rsidRPr="009E0DE1">
        <w:t xml:space="preserve">UE is associated with the following aggregate </w:t>
      </w:r>
      <w:r w:rsidRPr="009E0DE1">
        <w:rPr>
          <w:lang w:eastAsia="zh-CN"/>
        </w:rPr>
        <w:t xml:space="preserve">rate limit </w:t>
      </w:r>
      <w:r w:rsidRPr="009E0DE1">
        <w:t>QoS parameter:</w:t>
      </w:r>
    </w:p>
    <w:p w14:paraId="5403F2B8" w14:textId="77777777" w:rsidR="00352173" w:rsidRDefault="00352173" w:rsidP="00352173">
      <w:pPr>
        <w:pStyle w:val="B1"/>
      </w:pPr>
      <w:r w:rsidRPr="009E0DE1">
        <w:t>-</w:t>
      </w:r>
      <w:r w:rsidRPr="009E0DE1">
        <w:tab/>
      </w:r>
      <w:r>
        <w:rPr>
          <w:lang w:val="en-US" w:eastAsia="zh-CN"/>
        </w:rPr>
        <w:t>Slice Maximum Bitrate</w:t>
      </w:r>
      <w:r w:rsidRPr="009E0DE1">
        <w:t xml:space="preserve"> (</w:t>
      </w:r>
      <w:r>
        <w:t>S</w:t>
      </w:r>
      <w:r w:rsidRPr="009E0DE1">
        <w:t>MBR).</w:t>
      </w:r>
    </w:p>
    <w:p w14:paraId="36834F6A" w14:textId="77777777" w:rsidR="00352173" w:rsidRDefault="00352173" w:rsidP="00352173">
      <w:r>
        <w:t>(R)AN will limit the aggregate bit rate that can be expected to be provided across all GBR and Non-GBR QoS Flows of a specific slice within the (R)AN.</w:t>
      </w:r>
    </w:p>
    <w:p w14:paraId="668A75CA" w14:textId="77777777" w:rsidR="00352173" w:rsidRDefault="00352173" w:rsidP="00352173">
      <w:r>
        <w:t>It is proposed to use same procedure as UE AMBR to control SMBR since (R)AN is the only centralized node which could control all PDU Sessions of a UE within a specific slice:</w:t>
      </w:r>
    </w:p>
    <w:p w14:paraId="68D5AFE1" w14:textId="0920FF54" w:rsidR="00352173" w:rsidRDefault="00352173" w:rsidP="00352173">
      <w:r>
        <w:t>During the registration, the AMF will get the Subscribed SMBR from the UDM and send it to the AN. (In roaming case, AMF may</w:t>
      </w:r>
      <w:ins w:id="17" w:author="Nokia" w:date="2020-09-23T14:58:00Z">
        <w:r>
          <w:t xml:space="preserve"> optionally</w:t>
        </w:r>
      </w:ins>
      <w:r>
        <w:t xml:space="preserve"> send it to the V-PCF for authorization</w:t>
      </w:r>
      <w:ins w:id="18" w:author="Nokia" w:date="2020-09-23T14:57:00Z">
        <w:r>
          <w:t xml:space="preserve"> </w:t>
        </w:r>
      </w:ins>
      <w:ins w:id="19" w:author="Nokia" w:date="2020-09-23T15:02:00Z">
        <w:r>
          <w:t xml:space="preserve">of </w:t>
        </w:r>
      </w:ins>
      <w:ins w:id="20" w:author="Nokia" w:date="2020-09-23T14:57:00Z">
        <w:r>
          <w:t>the</w:t>
        </w:r>
      </w:ins>
      <w:ins w:id="21" w:author="Nokia" w:date="2020-09-23T15:02:00Z">
        <w:r>
          <w:t xml:space="preserve"> value the</w:t>
        </w:r>
      </w:ins>
      <w:ins w:id="22" w:author="Nokia" w:date="2020-09-23T14:57:00Z">
        <w:r>
          <w:t xml:space="preserve"> HPLMN </w:t>
        </w:r>
      </w:ins>
      <w:ins w:id="23" w:author="Nokia" w:date="2020-09-23T15:02:00Z">
        <w:r>
          <w:t>provides for</w:t>
        </w:r>
      </w:ins>
      <w:ins w:id="24" w:author="Nokia" w:date="2020-09-23T14:57:00Z">
        <w:r>
          <w:t xml:space="preserve"> the VPLMN based on agreement</w:t>
        </w:r>
      </w:ins>
      <w:del w:id="25" w:author="Nokia" w:date="2020-09-23T15:02:00Z">
        <w:r w:rsidDel="00352173">
          <w:delText>.</w:delText>
        </w:r>
      </w:del>
      <w:r>
        <w:t>) It is considering both GBR and non-GBR resource types. Each (R)AN shall set its SMBR to the sum of the Session-AMBR and MFBR for GBR QoS Flows of all PDU Sessions with active user plane to this (R)AN within the specific slice up to the value of the received SMBR from AMF.</w:t>
      </w:r>
    </w:p>
    <w:p w14:paraId="68C94159" w14:textId="77777777" w:rsidR="00352173" w:rsidRDefault="00352173" w:rsidP="00352173">
      <w:r>
        <w:lastRenderedPageBreak/>
        <w:t xml:space="preserve">The (R)AN enforces the SMBR </w:t>
      </w:r>
      <w:r w:rsidRPr="00540B5F">
        <w:rPr>
          <w:lang w:val="en-US" w:eastAsia="zh-CN"/>
        </w:rPr>
        <w:t xml:space="preserve">across all GBR and Non-GBR QoS Flows of a </w:t>
      </w:r>
      <w:r>
        <w:rPr>
          <w:lang w:val="en-US" w:eastAsia="zh-CN"/>
        </w:rPr>
        <w:t xml:space="preserve">UE belonging to PDU Sessions </w:t>
      </w:r>
      <w:r w:rsidRPr="00540B5F">
        <w:rPr>
          <w:lang w:val="en-US" w:eastAsia="zh-CN"/>
        </w:rPr>
        <w:t>with</w:t>
      </w:r>
      <w:r>
        <w:rPr>
          <w:lang w:val="en-US" w:eastAsia="zh-CN"/>
        </w:rPr>
        <w:t xml:space="preserve"> an active user plane of that </w:t>
      </w:r>
      <w:r w:rsidRPr="00540B5F">
        <w:rPr>
          <w:lang w:val="en-US" w:eastAsia="zh-CN"/>
        </w:rPr>
        <w:t xml:space="preserve">specific slice </w:t>
      </w:r>
      <w:r>
        <w:t>as follows:</w:t>
      </w:r>
    </w:p>
    <w:p w14:paraId="0BDCE1C8" w14:textId="77777777" w:rsidR="00352173" w:rsidRDefault="00352173" w:rsidP="00352173">
      <w:pPr>
        <w:pStyle w:val="B1"/>
        <w:rPr>
          <w:rFonts w:eastAsia="SimSun"/>
          <w:lang w:eastAsia="zh-CN"/>
        </w:rPr>
      </w:pPr>
      <w:r>
        <w:rPr>
          <w:rFonts w:eastAsia="SimSun"/>
          <w:lang w:eastAsia="zh-CN"/>
        </w:rPr>
        <w:t>1)</w:t>
      </w:r>
      <w:r>
        <w:rPr>
          <w:rFonts w:eastAsia="SimSun"/>
          <w:lang w:eastAsia="zh-CN"/>
        </w:rPr>
        <w:tab/>
        <w:t>The (R)AN shall ensure that the traffic of GBR QoS Flows is not affected up to the amount indicated by the GFBR value of the respective QoS Flow. Whenever a GBR QoS Flow is established or modified, the (R)AN shall check if the sum of the GFBR values (including the new/modified QoS Flow) is larger than the SMBR value. If so, the (R)AN determines whether the new/modified GBR QoS Flow can pre-empt any existing GBR QoS Flow of the same or a different PDU Session of the UE within the slice based on their ARP values. If this is not possible, the (R)AN shall reject the establishment/modification of the QoS Flow.</w:t>
      </w:r>
    </w:p>
    <w:p w14:paraId="33CE5F18" w14:textId="77777777" w:rsidR="00352173" w:rsidRDefault="00352173" w:rsidP="00352173">
      <w:pPr>
        <w:pStyle w:val="B1"/>
        <w:rPr>
          <w:rFonts w:eastAsia="SimSun"/>
          <w:lang w:eastAsia="zh-CN"/>
        </w:rPr>
      </w:pPr>
      <w:r>
        <w:rPr>
          <w:rFonts w:eastAsia="SimSun"/>
          <w:lang w:eastAsia="zh-CN"/>
        </w:rPr>
        <w:t>2)</w:t>
      </w:r>
      <w:r>
        <w:rPr>
          <w:rFonts w:eastAsia="SimSun"/>
          <w:lang w:eastAsia="zh-CN"/>
        </w:rPr>
        <w:tab/>
        <w:t>The (R)AN shall ensure that the aggregated bitrate across all GBR and Non-GBR QoS Flows is not exceeding the SMBR by shaping the traffic of non-GBR QoS Flows and/or dropping packets exceeding the GFBR from GBR QoS Flows with MFBR&gt;GFBR. The details of the enforcement are implementation specific, e.g. the ratio in which different non-GBR QoS Flows are served, the ratio between shaping and packet dropping, the selection of which packet to drop and so on.</w:t>
      </w:r>
    </w:p>
    <w:p w14:paraId="0F22E05B" w14:textId="77777777" w:rsidR="00352173" w:rsidRPr="0092177F" w:rsidRDefault="00352173" w:rsidP="00352173">
      <w:pPr>
        <w:pStyle w:val="NO"/>
      </w:pPr>
      <w:r w:rsidRPr="007F79B7">
        <w:rPr>
          <w:rFonts w:eastAsia="SimSun" w:hint="eastAsia"/>
          <w:lang w:eastAsia="zh-CN"/>
        </w:rPr>
        <w:t>N</w:t>
      </w:r>
      <w:r w:rsidRPr="007F79B7">
        <w:rPr>
          <w:rFonts w:eastAsia="SimSun"/>
          <w:lang w:eastAsia="zh-CN"/>
        </w:rPr>
        <w:t>OTE:</w:t>
      </w:r>
      <w:r>
        <w:tab/>
        <w:t>Existing queue management mechanisms will handle the packet dropping for the non-GBR QoS Flows.</w:t>
      </w:r>
    </w:p>
    <w:p w14:paraId="4805C538" w14:textId="77777777" w:rsidR="00352173" w:rsidRPr="00C87466" w:rsidRDefault="00352173" w:rsidP="00352173">
      <w:pPr>
        <w:pStyle w:val="Heading3"/>
      </w:pPr>
      <w:bookmarkStart w:id="26" w:name="_Toc43483517"/>
      <w:bookmarkStart w:id="27" w:name="_Toc43483811"/>
      <w:bookmarkStart w:id="28" w:name="_Toc50473179"/>
      <w:bookmarkStart w:id="29" w:name="_Toc50539499"/>
      <w:bookmarkStart w:id="30" w:name="_Toc50539889"/>
      <w:r w:rsidRPr="00C87466">
        <w:t>6.22.3</w:t>
      </w:r>
      <w:r w:rsidRPr="00C87466">
        <w:tab/>
        <w:t>Procedures</w:t>
      </w:r>
      <w:bookmarkEnd w:id="26"/>
      <w:bookmarkEnd w:id="27"/>
      <w:bookmarkEnd w:id="28"/>
      <w:bookmarkEnd w:id="29"/>
      <w:bookmarkEnd w:id="30"/>
    </w:p>
    <w:p w14:paraId="206BDE19" w14:textId="77777777" w:rsidR="00352173" w:rsidRPr="00C87466" w:rsidRDefault="00352173" w:rsidP="00352173">
      <w:pPr>
        <w:pStyle w:val="Heading4"/>
      </w:pPr>
      <w:bookmarkStart w:id="31" w:name="_Toc43397118"/>
      <w:bookmarkStart w:id="32" w:name="_Toc43483518"/>
      <w:bookmarkStart w:id="33" w:name="_Toc43483812"/>
      <w:bookmarkStart w:id="34" w:name="_Toc50473180"/>
      <w:bookmarkStart w:id="35" w:name="_Toc50539500"/>
      <w:bookmarkStart w:id="36" w:name="_Toc50539890"/>
      <w:r w:rsidRPr="00C87466">
        <w:t>6.22.3.0</w:t>
      </w:r>
      <w:r w:rsidRPr="00C87466">
        <w:tab/>
        <w:t>General</w:t>
      </w:r>
      <w:bookmarkEnd w:id="31"/>
      <w:bookmarkEnd w:id="32"/>
      <w:bookmarkEnd w:id="33"/>
      <w:bookmarkEnd w:id="34"/>
      <w:bookmarkEnd w:id="35"/>
      <w:bookmarkEnd w:id="36"/>
    </w:p>
    <w:p w14:paraId="65341602" w14:textId="77777777" w:rsidR="00352173" w:rsidRPr="000E2B2C" w:rsidRDefault="00352173" w:rsidP="00352173">
      <w:r>
        <w:t>It is proposed to add SMBR as a new parameter as following.</w:t>
      </w:r>
    </w:p>
    <w:p w14:paraId="1A3D3C05" w14:textId="6A0E8E6A" w:rsidR="00352173" w:rsidRPr="00372DA6" w:rsidRDefault="00352173" w:rsidP="00352173">
      <w:pPr>
        <w:pStyle w:val="B1"/>
        <w:rPr>
          <w:lang w:val="en-US" w:eastAsia="zh-CN"/>
        </w:rPr>
      </w:pPr>
      <w:r>
        <w:rPr>
          <w:lang w:eastAsia="ko-KR"/>
        </w:rPr>
        <w:tab/>
      </w:r>
      <w:r w:rsidRPr="00372DA6">
        <w:rPr>
          <w:lang w:eastAsia="ko-KR"/>
        </w:rPr>
        <w:t xml:space="preserve">The AMF </w:t>
      </w:r>
      <w:r w:rsidRPr="00372DA6">
        <w:t>retrieves the Access and Mobility Subscription data and other subscription data using Nudm_SDM_Get service operation. Subscribed SMBR is included in Access and Mobility Subscription data (same as Subscribed UE AMBR).</w:t>
      </w:r>
      <w:r w:rsidRPr="00372DA6">
        <w:rPr>
          <w:lang w:eastAsia="ko-KR"/>
        </w:rPr>
        <w:t xml:space="preserve"> In roaming case, the AMF may send Subscribed SMBR to the PCF for authorization. PCF will send the authorized SMBR to the AMF. </w:t>
      </w:r>
      <w:ins w:id="37" w:author="Nokia" w:date="2020-09-23T15:01:00Z">
        <w:r>
          <w:rPr>
            <w:lang w:eastAsia="ko-KR"/>
          </w:rPr>
          <w:t xml:space="preserve">The </w:t>
        </w:r>
      </w:ins>
      <w:r w:rsidRPr="00372DA6">
        <w:rPr>
          <w:lang w:eastAsia="ko-KR"/>
        </w:rPr>
        <w:t>AMF send</w:t>
      </w:r>
      <w:ins w:id="38" w:author="Nokia" w:date="2020-09-23T15:01:00Z">
        <w:r>
          <w:rPr>
            <w:lang w:eastAsia="ko-KR"/>
          </w:rPr>
          <w:t>s</w:t>
        </w:r>
      </w:ins>
      <w:r w:rsidRPr="00372DA6">
        <w:rPr>
          <w:lang w:eastAsia="ko-KR"/>
        </w:rPr>
        <w:t xml:space="preserve"> the received SMBR, i.e. either Subscribed SMBR received from UDM or</w:t>
      </w:r>
      <w:ins w:id="39" w:author="Nokia" w:date="2020-09-23T15:01:00Z">
        <w:r>
          <w:rPr>
            <w:lang w:eastAsia="ko-KR"/>
          </w:rPr>
          <w:t>, if</w:t>
        </w:r>
      </w:ins>
      <w:ins w:id="40" w:author="Nokia" w:date="2020-09-23T15:02:00Z">
        <w:r>
          <w:rPr>
            <w:lang w:eastAsia="ko-KR"/>
          </w:rPr>
          <w:t xml:space="preserve"> applicable,</w:t>
        </w:r>
      </w:ins>
      <w:r w:rsidRPr="00372DA6">
        <w:rPr>
          <w:lang w:eastAsia="ko-KR"/>
        </w:rPr>
        <w:t xml:space="preserve"> authorized SMBR from PCF, to the (R)AN.</w:t>
      </w:r>
      <w:bookmarkStart w:id="41" w:name="OLE_LINK43"/>
      <w:r w:rsidRPr="00372DA6">
        <w:rPr>
          <w:lang w:eastAsia="ko-KR"/>
        </w:rPr>
        <w:t xml:space="preserve"> The (R)AN sets</w:t>
      </w:r>
      <w:r w:rsidRPr="00372DA6">
        <w:t xml:space="preserve"> </w:t>
      </w:r>
      <w:r w:rsidRPr="00372DA6">
        <w:rPr>
          <w:lang w:eastAsia="ko-KR"/>
        </w:rPr>
        <w:t xml:space="preserve">its SMBR to the sum of the Session-AMBR and MFBR for GBR QoS Flows of all PDU Sessions with active user plane to this (R)AN within the specific slice up to the value of the received SMBR from AMF. </w:t>
      </w:r>
      <w:bookmarkEnd w:id="41"/>
      <w:r w:rsidRPr="00372DA6">
        <w:rPr>
          <w:lang w:eastAsia="ko-KR"/>
        </w:rPr>
        <w:t xml:space="preserve">The (R)AN will limit </w:t>
      </w:r>
      <w:r w:rsidRPr="00372DA6">
        <w:rPr>
          <w:lang w:val="en-US" w:eastAsia="zh-CN"/>
        </w:rPr>
        <w:t xml:space="preserve">the aggregate bit rate that can be expected to be provided across all GBR and Non-GBR QoS Flows of a specific slice within the AN as described in </w:t>
      </w:r>
      <w:r>
        <w:rPr>
          <w:lang w:val="en-US" w:eastAsia="zh-CN"/>
        </w:rPr>
        <w:t>clause </w:t>
      </w:r>
      <w:r w:rsidRPr="00372DA6">
        <w:rPr>
          <w:lang w:val="en-US" w:eastAsia="zh-CN"/>
        </w:rPr>
        <w:t>6.</w:t>
      </w:r>
      <w:r>
        <w:rPr>
          <w:lang w:val="en-US" w:eastAsia="zh-CN"/>
        </w:rPr>
        <w:t>22</w:t>
      </w:r>
      <w:r w:rsidRPr="00372DA6">
        <w:rPr>
          <w:lang w:val="en-US" w:eastAsia="zh-CN"/>
        </w:rPr>
        <w:t>.2.</w:t>
      </w:r>
    </w:p>
    <w:p w14:paraId="3A3457DF" w14:textId="77777777" w:rsidR="00352173" w:rsidRDefault="00352173" w:rsidP="00352173">
      <w:pPr>
        <w:rPr>
          <w:lang w:eastAsia="ko-KR"/>
        </w:rPr>
      </w:pPr>
      <w:r>
        <w:rPr>
          <w:lang w:eastAsia="ko-KR"/>
        </w:rPr>
        <w:t>Some procedures could be impact as shown in following clauses.</w:t>
      </w:r>
    </w:p>
    <w:p w14:paraId="051BC781" w14:textId="77777777" w:rsidR="00352173" w:rsidRPr="00B40F9B" w:rsidRDefault="00352173" w:rsidP="00352173">
      <w:pPr>
        <w:pStyle w:val="Heading4"/>
      </w:pPr>
      <w:bookmarkStart w:id="42" w:name="_Toc43397119"/>
      <w:bookmarkStart w:id="43" w:name="_Toc43483519"/>
      <w:bookmarkStart w:id="44" w:name="_Toc43483813"/>
      <w:bookmarkStart w:id="45" w:name="_Toc50473181"/>
      <w:bookmarkStart w:id="46" w:name="_Toc50539501"/>
      <w:bookmarkStart w:id="47" w:name="_Toc50539891"/>
      <w:r>
        <w:t>6.22.3.1</w:t>
      </w:r>
      <w:r>
        <w:tab/>
        <w:t>Registration</w:t>
      </w:r>
      <w:bookmarkEnd w:id="42"/>
      <w:bookmarkEnd w:id="43"/>
      <w:bookmarkEnd w:id="44"/>
      <w:bookmarkEnd w:id="45"/>
      <w:bookmarkEnd w:id="46"/>
      <w:bookmarkEnd w:id="47"/>
    </w:p>
    <w:p w14:paraId="15C149E7" w14:textId="77777777" w:rsidR="00352173" w:rsidRPr="004E34A0" w:rsidRDefault="00352173" w:rsidP="00352173">
      <w:pPr>
        <w:keepLines/>
        <w:rPr>
          <w:lang w:eastAsia="ko-KR"/>
        </w:rPr>
      </w:pPr>
      <w:r w:rsidRPr="00372DA6">
        <w:rPr>
          <w:lang w:eastAsia="ko-KR"/>
        </w:rPr>
        <w:t xml:space="preserve">UE sends Initial Registration Request as described in step 1-3 of </w:t>
      </w:r>
      <w:r>
        <w:rPr>
          <w:lang w:eastAsia="ko-KR"/>
        </w:rPr>
        <w:t>clause </w:t>
      </w:r>
      <w:r w:rsidRPr="00372DA6">
        <w:rPr>
          <w:lang w:eastAsia="ko-KR"/>
        </w:rPr>
        <w:t xml:space="preserve">4.2.2.2.2 of </w:t>
      </w:r>
      <w:r>
        <w:rPr>
          <w:lang w:val="en-US"/>
        </w:rPr>
        <w:t>TS 23.502 [6]</w:t>
      </w:r>
      <w:r w:rsidRPr="00372DA6">
        <w:rPr>
          <w:lang w:eastAsia="ko-KR"/>
        </w:rPr>
        <w:t>.</w:t>
      </w:r>
    </w:p>
    <w:p w14:paraId="333CD293" w14:textId="77777777" w:rsidR="00352173" w:rsidRPr="00372DA6" w:rsidRDefault="00352173" w:rsidP="00352173">
      <w:pPr>
        <w:rPr>
          <w:lang w:eastAsia="ko-KR"/>
        </w:rPr>
      </w:pPr>
      <w:r w:rsidRPr="00372DA6">
        <w:rPr>
          <w:lang w:eastAsia="ko-KR"/>
        </w:rPr>
        <w:t>The detail flows are shown in Figure 6.</w:t>
      </w:r>
      <w:r>
        <w:rPr>
          <w:lang w:eastAsia="ko-KR"/>
        </w:rPr>
        <w:t>22</w:t>
      </w:r>
      <w:r w:rsidRPr="00372DA6">
        <w:rPr>
          <w:lang w:eastAsia="ko-KR"/>
        </w:rPr>
        <w:t>.3-1</w:t>
      </w:r>
      <w:r>
        <w:rPr>
          <w:lang w:eastAsia="ko-KR"/>
        </w:rPr>
        <w:t>.</w:t>
      </w:r>
    </w:p>
    <w:bookmarkStart w:id="48" w:name="_MON_1650372139"/>
    <w:bookmarkEnd w:id="48"/>
    <w:p w14:paraId="3F6718F6" w14:textId="060CCD47" w:rsidR="00352173" w:rsidRDefault="00352173" w:rsidP="00352173">
      <w:pPr>
        <w:pStyle w:val="TH"/>
        <w:rPr>
          <w:ins w:id="49" w:author="Nokia" w:date="2020-09-23T15:07:00Z"/>
          <w:rFonts w:eastAsia="SimSun"/>
        </w:rPr>
      </w:pPr>
      <w:del w:id="50" w:author="Nokia" w:date="2020-09-23T15:07:00Z">
        <w:r w:rsidRPr="00800905" w:rsidDel="00C43FA5">
          <w:rPr>
            <w:rFonts w:eastAsia="SimSun"/>
          </w:rPr>
          <w:object w:dxaOrig="5850" w:dyaOrig="6258" w14:anchorId="37FCC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09.75pt" o:ole="">
              <v:imagedata r:id="rId13" o:title=""/>
            </v:shape>
            <o:OLEObject Type="Embed" ProgID="Word.Picture.8" ShapeID="_x0000_i1025" DrawAspect="Content" ObjectID="_1665213600" r:id="rId14"/>
          </w:object>
        </w:r>
      </w:del>
    </w:p>
    <w:p w14:paraId="342BD9B6" w14:textId="28212246" w:rsidR="00C43FA5" w:rsidRPr="00800905" w:rsidRDefault="00C43FA5" w:rsidP="00352173">
      <w:pPr>
        <w:pStyle w:val="TH"/>
        <w:rPr>
          <w:rFonts w:eastAsia="MS Mincho"/>
        </w:rPr>
      </w:pPr>
      <w:ins w:id="51" w:author="Nokia" w:date="2020-09-23T15:07:00Z">
        <w:r w:rsidRPr="00800905">
          <w:rPr>
            <w:rFonts w:eastAsia="SimSun"/>
          </w:rPr>
          <w:object w:dxaOrig="5850" w:dyaOrig="6258" w14:anchorId="114BE872">
            <v:shape id="_x0000_i1026" type="#_x0000_t75" style="width:4in;height:309.75pt" o:ole="">
              <v:imagedata r:id="rId15" o:title=""/>
            </v:shape>
            <o:OLEObject Type="Embed" ProgID="Word.Picture.8" ShapeID="_x0000_i1026" DrawAspect="Content" ObjectID="_1665213601" r:id="rId16"/>
          </w:object>
        </w:r>
      </w:ins>
    </w:p>
    <w:p w14:paraId="71355AC0" w14:textId="77777777" w:rsidR="00352173" w:rsidRDefault="00352173" w:rsidP="00352173">
      <w:pPr>
        <w:pStyle w:val="TF"/>
      </w:pPr>
      <w:r>
        <w:t>Figure 6.22.3-1: Procedures for Slice-AMBR during registration</w:t>
      </w:r>
    </w:p>
    <w:p w14:paraId="26E7593C" w14:textId="77777777" w:rsidR="00352173" w:rsidRDefault="00352173" w:rsidP="00352173">
      <w:pPr>
        <w:pStyle w:val="B1"/>
        <w:rPr>
          <w:rFonts w:eastAsia="MS Mincho"/>
        </w:rPr>
      </w:pPr>
      <w:r>
        <w:rPr>
          <w:rFonts w:eastAsia="MS Mincho"/>
        </w:rPr>
        <w:tab/>
        <w:t>Step 1 and 2. The AMF retrieves subscribed SMBR per S-NSSAI from UDM.</w:t>
      </w:r>
    </w:p>
    <w:p w14:paraId="1457126A" w14:textId="5511A245" w:rsidR="00352173" w:rsidRDefault="00352173" w:rsidP="00352173">
      <w:pPr>
        <w:pStyle w:val="B1"/>
        <w:rPr>
          <w:rFonts w:eastAsia="MS Mincho"/>
        </w:rPr>
      </w:pPr>
      <w:r>
        <w:rPr>
          <w:rFonts w:eastAsia="MS Mincho"/>
        </w:rPr>
        <w:tab/>
        <w:t>Step 3. The AMF</w:t>
      </w:r>
      <w:ins w:id="52" w:author="Nokia" w:date="2020-09-23T15:07:00Z">
        <w:r w:rsidR="00C43FA5">
          <w:rPr>
            <w:rFonts w:eastAsia="MS Mincho"/>
          </w:rPr>
          <w:t xml:space="preserve"> may</w:t>
        </w:r>
      </w:ins>
      <w:r>
        <w:rPr>
          <w:rFonts w:eastAsia="MS Mincho"/>
        </w:rPr>
        <w:t xml:space="preserve"> provide</w:t>
      </w:r>
      <w:del w:id="53" w:author="Nokia" w:date="2020-09-23T15:07:00Z">
        <w:r w:rsidDel="00C43FA5">
          <w:rPr>
            <w:rFonts w:eastAsia="MS Mincho"/>
          </w:rPr>
          <w:delText>s</w:delText>
        </w:r>
      </w:del>
      <w:r>
        <w:rPr>
          <w:rFonts w:eastAsia="MS Mincho"/>
        </w:rPr>
        <w:t xml:space="preserve"> the Allowed NSSAI and the subscribed SMBR for each S-NSSAI in the Allowed NSSAI to PCF in roaming case.</w:t>
      </w:r>
    </w:p>
    <w:p w14:paraId="6B6A2826" w14:textId="77777777" w:rsidR="00352173" w:rsidRDefault="00352173" w:rsidP="00352173">
      <w:pPr>
        <w:pStyle w:val="B1"/>
        <w:rPr>
          <w:rFonts w:eastAsia="MS Mincho"/>
        </w:rPr>
      </w:pPr>
      <w:r>
        <w:rPr>
          <w:rFonts w:eastAsia="MS Mincho"/>
        </w:rPr>
        <w:lastRenderedPageBreak/>
        <w:tab/>
        <w:t xml:space="preserve">Step 4. The PCF may authorize the subscribed SMBR and send the </w:t>
      </w:r>
      <w:r>
        <w:t>dynamic serving network</w:t>
      </w:r>
      <w:r>
        <w:rPr>
          <w:rFonts w:eastAsia="MS Mincho"/>
        </w:rPr>
        <w:t xml:space="preserve"> SMBR for each S-NSSAI in the Allowed NSSAI to the AMF.</w:t>
      </w:r>
    </w:p>
    <w:p w14:paraId="62932A1F" w14:textId="77777777" w:rsidR="00352173" w:rsidRPr="00615544" w:rsidRDefault="00352173" w:rsidP="00352173">
      <w:pPr>
        <w:pStyle w:val="NO"/>
        <w:rPr>
          <w:rFonts w:eastAsia="MS Mincho"/>
        </w:rPr>
      </w:pPr>
      <w:r w:rsidRPr="00615544">
        <w:rPr>
          <w:rFonts w:eastAsiaTheme="minorEastAsia"/>
        </w:rPr>
        <w:t>NOTE:</w:t>
      </w:r>
      <w:r>
        <w:rPr>
          <w:rFonts w:eastAsiaTheme="minorEastAsia"/>
        </w:rPr>
        <w:tab/>
      </w:r>
      <w:r w:rsidRPr="00615544">
        <w:rPr>
          <w:rFonts w:eastAsiaTheme="minorEastAsia"/>
        </w:rPr>
        <w:t>T</w:t>
      </w:r>
      <w:r w:rsidRPr="00615544">
        <w:t>he VPLMN may downgrade the SMBR for roaming users based on roaming agreement.</w:t>
      </w:r>
    </w:p>
    <w:p w14:paraId="42C3CBE4" w14:textId="77777777" w:rsidR="00352173" w:rsidRPr="006235D3" w:rsidRDefault="00352173" w:rsidP="00352173">
      <w:pPr>
        <w:pStyle w:val="B1"/>
        <w:rPr>
          <w:rFonts w:eastAsia="MS Mincho"/>
        </w:rPr>
      </w:pPr>
      <w:r>
        <w:rPr>
          <w:rFonts w:eastAsia="MS Mincho"/>
        </w:rPr>
        <w:tab/>
        <w:t>Step 5. If received fro</w:t>
      </w:r>
      <w:r w:rsidRPr="006A5CB5">
        <w:rPr>
          <w:rFonts w:eastAsia="MS Mincho" w:hint="eastAsia"/>
        </w:rPr>
        <w:t>m</w:t>
      </w:r>
      <w:r w:rsidRPr="006A5CB5">
        <w:rPr>
          <w:rFonts w:eastAsia="MS Mincho"/>
        </w:rPr>
        <w:t xml:space="preserve"> PCF, </w:t>
      </w:r>
      <w:r>
        <w:rPr>
          <w:rFonts w:eastAsia="MS Mincho"/>
        </w:rPr>
        <w:t xml:space="preserve">the AMF sends the Authorized SMBR per S-NSSAI to </w:t>
      </w:r>
      <w:r w:rsidRPr="006235D3">
        <w:rPr>
          <w:rFonts w:eastAsia="MS Mincho"/>
        </w:rPr>
        <w:t>(R)AN when needed. Otherwise t</w:t>
      </w:r>
      <w:r>
        <w:rPr>
          <w:rFonts w:eastAsia="MS Mincho"/>
        </w:rPr>
        <w:t>he AMF sends the Subscribed SMBR per S-NSSAI obtained from the UDM to (R)AN.</w:t>
      </w:r>
    </w:p>
    <w:p w14:paraId="6C71C17E" w14:textId="77777777" w:rsidR="00352173" w:rsidRDefault="00352173" w:rsidP="00352173">
      <w:pPr>
        <w:pStyle w:val="Heading4"/>
      </w:pPr>
      <w:bookmarkStart w:id="54" w:name="_Toc43397120"/>
      <w:bookmarkStart w:id="55" w:name="_Toc43483520"/>
      <w:bookmarkStart w:id="56" w:name="_Toc43483814"/>
      <w:bookmarkStart w:id="57" w:name="_Toc50473182"/>
      <w:bookmarkStart w:id="58" w:name="_Toc50539502"/>
      <w:bookmarkStart w:id="59" w:name="_Toc50539892"/>
      <w:bookmarkStart w:id="60" w:name="OLE_LINK39"/>
      <w:r>
        <w:lastRenderedPageBreak/>
        <w:t>6.22.3.2</w:t>
      </w:r>
      <w:r>
        <w:tab/>
        <w:t>PDU session establishment</w:t>
      </w:r>
      <w:bookmarkEnd w:id="54"/>
      <w:bookmarkEnd w:id="55"/>
      <w:bookmarkEnd w:id="56"/>
      <w:bookmarkEnd w:id="57"/>
      <w:bookmarkEnd w:id="58"/>
      <w:bookmarkEnd w:id="59"/>
    </w:p>
    <w:bookmarkEnd w:id="60"/>
    <w:p w14:paraId="6318EC8B" w14:textId="77777777" w:rsidR="00352173" w:rsidRDefault="00352173" w:rsidP="00352173">
      <w:pPr>
        <w:pStyle w:val="TH"/>
      </w:pPr>
      <w:r>
        <w:object w:dxaOrig="9600" w:dyaOrig="13470" w14:anchorId="76CD6E8E">
          <v:shape id="_x0000_i1027" type="#_x0000_t75" style="width:460.5pt;height:655.5pt" o:ole="">
            <v:imagedata r:id="rId17" o:title=""/>
          </v:shape>
          <o:OLEObject Type="Embed" ProgID="Word.Picture.8" ShapeID="_x0000_i1027" DrawAspect="Content" ObjectID="_1665213602" r:id="rId18"/>
        </w:object>
      </w:r>
    </w:p>
    <w:p w14:paraId="4E376E61" w14:textId="77777777" w:rsidR="00352173" w:rsidRDefault="00352173" w:rsidP="00352173">
      <w:pPr>
        <w:pStyle w:val="TF"/>
      </w:pPr>
      <w:r>
        <w:t>Figure 6.22.3.2-1</w:t>
      </w:r>
    </w:p>
    <w:p w14:paraId="3F926FEE" w14:textId="77777777" w:rsidR="00352173" w:rsidRDefault="00352173" w:rsidP="00352173">
      <w:pPr>
        <w:pStyle w:val="B1"/>
      </w:pPr>
      <w:r>
        <w:lastRenderedPageBreak/>
        <w:tab/>
        <w:t xml:space="preserve">Step 12. In N2 SM information the GFBR of any GBR QoS flows is evaluated against the SMBR for the S-NSSAI in the UE context. The RAN stops admitting more GBR QoS flows when admitting them would imply overflow of the SMBR. The </w:t>
      </w:r>
      <w:r w:rsidRPr="00F64794">
        <w:t>RAN shall first reserve the cumulative GFBR needed for the GBR</w:t>
      </w:r>
      <w:r>
        <w:t xml:space="preserve"> QoS F</w:t>
      </w:r>
      <w:r w:rsidRPr="00F64794">
        <w:t xml:space="preserve">lows, and then initiate the enforcement for the non-GBR </w:t>
      </w:r>
      <w:r>
        <w:t>QoS Flow</w:t>
      </w:r>
      <w:r w:rsidRPr="00F64794">
        <w:t>.</w:t>
      </w:r>
    </w:p>
    <w:p w14:paraId="6FDCDE7E" w14:textId="77777777" w:rsidR="00352173" w:rsidRDefault="00352173" w:rsidP="00352173">
      <w:pPr>
        <w:pStyle w:val="Heading4"/>
      </w:pPr>
      <w:bookmarkStart w:id="61" w:name="_Toc43397121"/>
      <w:bookmarkStart w:id="62" w:name="_Toc43483521"/>
      <w:bookmarkStart w:id="63" w:name="_Toc43483815"/>
      <w:bookmarkStart w:id="64" w:name="_Toc50473183"/>
      <w:bookmarkStart w:id="65" w:name="_Toc50539503"/>
      <w:bookmarkStart w:id="66" w:name="_Toc50539893"/>
      <w:r>
        <w:t>6.22.3.3</w:t>
      </w:r>
      <w:r>
        <w:tab/>
        <w:t>PDU session modification</w:t>
      </w:r>
      <w:bookmarkEnd w:id="61"/>
      <w:bookmarkEnd w:id="62"/>
      <w:bookmarkEnd w:id="63"/>
      <w:bookmarkEnd w:id="64"/>
      <w:bookmarkEnd w:id="65"/>
      <w:bookmarkEnd w:id="66"/>
    </w:p>
    <w:p w14:paraId="07506A3C" w14:textId="77777777" w:rsidR="00352173" w:rsidRDefault="00352173" w:rsidP="00352173">
      <w:pPr>
        <w:pStyle w:val="TH"/>
      </w:pPr>
      <w:r>
        <w:object w:dxaOrig="9495" w:dyaOrig="10665" w14:anchorId="42173399">
          <v:shape id="_x0000_i1028" type="#_x0000_t75" style="width:475.5pt;height:532.5pt" o:ole="">
            <v:imagedata r:id="rId19" o:title=""/>
          </v:shape>
          <o:OLEObject Type="Embed" ProgID="Word.Picture.8" ShapeID="_x0000_i1028" DrawAspect="Content" ObjectID="_1665213603" r:id="rId20"/>
        </w:object>
      </w:r>
    </w:p>
    <w:p w14:paraId="330826FC" w14:textId="77777777" w:rsidR="00352173" w:rsidRPr="004E34A0" w:rsidRDefault="00352173" w:rsidP="00352173">
      <w:pPr>
        <w:pStyle w:val="TF"/>
      </w:pPr>
      <w:r>
        <w:t>Figure 6.22.3.3-1</w:t>
      </w:r>
    </w:p>
    <w:p w14:paraId="5ACC6B4F" w14:textId="77777777" w:rsidR="00352173" w:rsidRDefault="00352173" w:rsidP="00352173">
      <w:r>
        <w:t>Step 4. In N2 SM information the GFBR of GBR QoS flows is evaluated against the SMBR for the S-NSSAI in the UE context. The RAN stops admitting more GBR QoS flows when admitting them would cause overflow the SMBR. If the GFBR of the QoS Flow cannot be allowed, then the RAN rejects the PDU session modification in step 6.</w:t>
      </w:r>
      <w:r w:rsidRPr="004E34A0">
        <w:t xml:space="preserve"> </w:t>
      </w:r>
      <w:r>
        <w:t xml:space="preserve">The </w:t>
      </w:r>
      <w:r w:rsidRPr="00F64794">
        <w:t>RAN shall first reserve the cumulative GFBR needed for the GBR</w:t>
      </w:r>
      <w:r>
        <w:t xml:space="preserve"> QoS</w:t>
      </w:r>
      <w:r w:rsidRPr="00F64794">
        <w:t xml:space="preserve"> </w:t>
      </w:r>
      <w:r>
        <w:t>F</w:t>
      </w:r>
      <w:r w:rsidRPr="00F64794">
        <w:t xml:space="preserve">lows, and then initiate the enforcement for the non-GBR </w:t>
      </w:r>
      <w:r>
        <w:t>QoS Flow</w:t>
      </w:r>
      <w:r w:rsidRPr="00F64794">
        <w:t>.</w:t>
      </w:r>
    </w:p>
    <w:p w14:paraId="6F3DA6C3" w14:textId="77777777" w:rsidR="00352173" w:rsidRDefault="00352173" w:rsidP="00352173">
      <w:pPr>
        <w:pStyle w:val="Heading4"/>
      </w:pPr>
      <w:bookmarkStart w:id="67" w:name="_Toc43397122"/>
      <w:bookmarkStart w:id="68" w:name="_Toc43483522"/>
      <w:bookmarkStart w:id="69" w:name="_Toc43483816"/>
      <w:bookmarkStart w:id="70" w:name="_Toc50473184"/>
      <w:bookmarkStart w:id="71" w:name="_Toc50539504"/>
      <w:bookmarkStart w:id="72" w:name="_Toc50539894"/>
      <w:r>
        <w:lastRenderedPageBreak/>
        <w:t>6.22.3.4</w:t>
      </w:r>
      <w:r>
        <w:tab/>
        <w:t>Service Request</w:t>
      </w:r>
      <w:bookmarkEnd w:id="67"/>
      <w:bookmarkEnd w:id="68"/>
      <w:bookmarkEnd w:id="69"/>
      <w:bookmarkEnd w:id="70"/>
      <w:bookmarkEnd w:id="71"/>
      <w:bookmarkEnd w:id="72"/>
    </w:p>
    <w:p w14:paraId="2B338AB7" w14:textId="77777777" w:rsidR="00352173" w:rsidRDefault="00352173" w:rsidP="00352173">
      <w:pPr>
        <w:pStyle w:val="TH"/>
      </w:pPr>
      <w:r>
        <w:object w:dxaOrig="9285" w:dyaOrig="12855" w14:anchorId="0F2351B9">
          <v:shape id="_x0000_i1029" type="#_x0000_t75" style="width:461.25pt;height:640.5pt" o:ole="">
            <v:imagedata r:id="rId21" o:title=""/>
          </v:shape>
          <o:OLEObject Type="Embed" ProgID="Word.Picture.8" ShapeID="_x0000_i1029" DrawAspect="Content" ObjectID="_1665213604" r:id="rId22"/>
        </w:object>
      </w:r>
    </w:p>
    <w:p w14:paraId="735D5C54" w14:textId="77777777" w:rsidR="00352173" w:rsidRDefault="00352173" w:rsidP="00352173">
      <w:pPr>
        <w:pStyle w:val="TF"/>
      </w:pPr>
      <w:r>
        <w:t>Figure 6.22.3.4-1</w:t>
      </w:r>
    </w:p>
    <w:p w14:paraId="5FABF827" w14:textId="77777777" w:rsidR="00352173" w:rsidRPr="004E34A0" w:rsidRDefault="00352173" w:rsidP="00352173">
      <w:r>
        <w:t>In Step 12, in addition to the allowed NSSAI, the AMF provides to the RAN for each S-NSSAI for which it is applicable, the SMBR.</w:t>
      </w:r>
    </w:p>
    <w:p w14:paraId="635BD0E6" w14:textId="77777777" w:rsidR="00352173" w:rsidRPr="00C87466" w:rsidRDefault="00352173" w:rsidP="00352173">
      <w:pPr>
        <w:pStyle w:val="Heading3"/>
      </w:pPr>
      <w:bookmarkStart w:id="73" w:name="_Toc43483523"/>
      <w:bookmarkStart w:id="74" w:name="_Toc43483817"/>
      <w:bookmarkStart w:id="75" w:name="_Toc50473185"/>
      <w:bookmarkStart w:id="76" w:name="_Toc50539505"/>
      <w:bookmarkStart w:id="77" w:name="_Toc50539895"/>
      <w:r w:rsidRPr="00C87466">
        <w:lastRenderedPageBreak/>
        <w:t>6.22.4</w:t>
      </w:r>
      <w:r w:rsidRPr="00C87466">
        <w:tab/>
        <w:t>Impacts on services, entities and interfaces</w:t>
      </w:r>
      <w:bookmarkEnd w:id="73"/>
      <w:bookmarkEnd w:id="74"/>
      <w:bookmarkEnd w:id="75"/>
      <w:bookmarkEnd w:id="76"/>
      <w:bookmarkEnd w:id="77"/>
    </w:p>
    <w:p w14:paraId="5469F480" w14:textId="77777777" w:rsidR="00352173" w:rsidRDefault="00352173" w:rsidP="00352173">
      <w:r>
        <w:t>AMF:</w:t>
      </w:r>
    </w:p>
    <w:p w14:paraId="7FD5B062" w14:textId="77777777" w:rsidR="00352173" w:rsidRDefault="00352173" w:rsidP="00352173">
      <w:pPr>
        <w:pStyle w:val="B1"/>
      </w:pPr>
      <w:r>
        <w:t>-</w:t>
      </w:r>
      <w:r>
        <w:tab/>
        <w:t>Support Subscribed SMBR transfer during initial registration via Nudm_SDM Service.</w:t>
      </w:r>
    </w:p>
    <w:p w14:paraId="43DC904B" w14:textId="77777777" w:rsidR="00352173" w:rsidRDefault="00352173" w:rsidP="00352173">
      <w:pPr>
        <w:pStyle w:val="B1"/>
      </w:pPr>
      <w:r>
        <w:t>-</w:t>
      </w:r>
      <w:r>
        <w:tab/>
        <w:t>Support SMBR transfer via N2 interface and SMBR enforcement.</w:t>
      </w:r>
    </w:p>
    <w:p w14:paraId="7F986E46" w14:textId="77777777" w:rsidR="00352173" w:rsidRDefault="00352173" w:rsidP="00352173">
      <w:r>
        <w:t>UDM:</w:t>
      </w:r>
    </w:p>
    <w:p w14:paraId="15CB7C40" w14:textId="77777777" w:rsidR="00352173" w:rsidRDefault="00352173" w:rsidP="00352173">
      <w:pPr>
        <w:pStyle w:val="B1"/>
      </w:pPr>
      <w:r>
        <w:t>-</w:t>
      </w:r>
      <w:r>
        <w:tab/>
        <w:t>Support Subscribed SMBR transfer during initial registration via Nudm_SDM Service.</w:t>
      </w:r>
    </w:p>
    <w:p w14:paraId="3A6A70CD" w14:textId="77777777" w:rsidR="00352173" w:rsidRDefault="00352173" w:rsidP="00352173">
      <w:r>
        <w:t>PCF:</w:t>
      </w:r>
    </w:p>
    <w:p w14:paraId="2076423D" w14:textId="77777777" w:rsidR="00352173" w:rsidRDefault="00352173" w:rsidP="00352173">
      <w:pPr>
        <w:pStyle w:val="B1"/>
      </w:pPr>
      <w:r>
        <w:t>-</w:t>
      </w:r>
      <w:r>
        <w:tab/>
        <w:t>Support authorized SMBR transfer via Npcf_AMPolicyControl Service.</w:t>
      </w:r>
    </w:p>
    <w:p w14:paraId="73D7E8DC" w14:textId="77777777" w:rsidR="00352173" w:rsidRDefault="00352173" w:rsidP="00352173">
      <w:r>
        <w:t>RAN:</w:t>
      </w:r>
    </w:p>
    <w:p w14:paraId="3D0D43CC" w14:textId="77777777" w:rsidR="00352173" w:rsidRDefault="00352173" w:rsidP="00352173">
      <w:pPr>
        <w:pStyle w:val="B1"/>
      </w:pPr>
      <w:r>
        <w:t>-</w:t>
      </w:r>
      <w:r>
        <w:tab/>
        <w:t>Support SMBR transfer via N2 interface and SMBR enforcement.</w:t>
      </w:r>
    </w:p>
    <w:p w14:paraId="277ACC8C" w14:textId="77777777" w:rsidR="008D6DCA" w:rsidRDefault="008D6DCA" w:rsidP="001A0078"/>
    <w:p w14:paraId="4F299552" w14:textId="77777777" w:rsidR="001A0078" w:rsidRPr="001A0078" w:rsidRDefault="001A0078" w:rsidP="001A0078"/>
    <w:sectPr w:rsidR="001A0078" w:rsidRPr="001A0078">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2F52C" w14:textId="77777777" w:rsidR="001F4571" w:rsidRDefault="001F4571">
      <w:r>
        <w:separator/>
      </w:r>
    </w:p>
    <w:p w14:paraId="40047CF0" w14:textId="77777777" w:rsidR="001F4571" w:rsidRDefault="001F4571"/>
  </w:endnote>
  <w:endnote w:type="continuationSeparator" w:id="0">
    <w:p w14:paraId="53A752C8" w14:textId="77777777" w:rsidR="001F4571" w:rsidRDefault="001F4571">
      <w:r>
        <w:continuationSeparator/>
      </w:r>
    </w:p>
    <w:p w14:paraId="551F9D18" w14:textId="77777777" w:rsidR="001F4571" w:rsidRDefault="001F4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FAD59" w14:textId="77777777" w:rsidR="001F4571" w:rsidRDefault="001F4571">
      <w:r>
        <w:separator/>
      </w:r>
    </w:p>
    <w:p w14:paraId="3E49F1B8" w14:textId="77777777" w:rsidR="001F4571" w:rsidRDefault="001F4571"/>
  </w:footnote>
  <w:footnote w:type="continuationSeparator" w:id="0">
    <w:p w14:paraId="4677C4A5" w14:textId="77777777" w:rsidR="001F4571" w:rsidRDefault="001F4571">
      <w:r>
        <w:continuationSeparator/>
      </w:r>
    </w:p>
    <w:p w14:paraId="7BBFB9FE" w14:textId="77777777" w:rsidR="001F4571" w:rsidRDefault="001F45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8661C8">
      <w:rPr>
        <w:rFonts w:ascii="Arial" w:hAnsi="Arial" w:cs="Arial"/>
        <w:b/>
        <w:bCs/>
        <w:noProof/>
        <w:sz w:val="18"/>
        <w:lang w:val="fr-FR"/>
      </w:rPr>
      <w:t>2</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6334"/>
    <w:rsid w:val="001C0331"/>
    <w:rsid w:val="001C1F47"/>
    <w:rsid w:val="001C252A"/>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571"/>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49BC"/>
    <w:rsid w:val="00345D01"/>
    <w:rsid w:val="00345EAE"/>
    <w:rsid w:val="003461CF"/>
    <w:rsid w:val="003464CC"/>
    <w:rsid w:val="00346841"/>
    <w:rsid w:val="00350775"/>
    <w:rsid w:val="00350BC7"/>
    <w:rsid w:val="003516D9"/>
    <w:rsid w:val="00352173"/>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5D1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4F9F"/>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1C8"/>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2916"/>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5729"/>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3FA5"/>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1D57"/>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6613"/>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C05C9-05BB-45E8-B9EC-6B6D643D63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4.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5.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6.xml><?xml version="1.0" encoding="utf-8"?>
<ds:datastoreItem xmlns:ds="http://schemas.openxmlformats.org/officeDocument/2006/customXml" ds:itemID="{82AE9925-384E-4C68-ADDE-3663B81B3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1039</Words>
  <Characters>5925</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3</cp:revision>
  <cp:lastPrinted>2017-01-31T19:04:00Z</cp:lastPrinted>
  <dcterms:created xsi:type="dcterms:W3CDTF">2020-10-16T02:53:00Z</dcterms:created>
  <dcterms:modified xsi:type="dcterms:W3CDTF">2020-10-26T10:33:00Z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2015_ms_pID_725343">
    <vt:lpwstr>(2)4+kA6SNK/zHecrEM1zV6OVOH9nbjvrzaRuKCYv8m7YaQ39PoOGk6XFT2dw5P9Hc51iGRxO+t
DseiA5boiJCZoVcbgH364OQBTzOlCt+S1yLXP2s3U1HaVqldpFgHXYT3LlibYWx7omztvKI7
ctxq7VKTFtYqns5pgnzFPyw5I3ir7ulSEEHnPhl8HLzsnxCbrEufC51tQa24kG8W3Dzk/9aH
gDTlZ4adUzGEWlUzk0</vt:lpwstr>
  </property>
  <property fmtid="{D5CDD505-2E9C-101B-9397-08002B2CF9AE}" pid="5" name="_2015_ms_pID_7253431">
    <vt:lpwstr>oDBHipsEgPiQAGQBJiZtQRMrWyuwFMbvxATQZrzaEOz+O+87tWHVZT
seyN1FInUv7zGlOy9lXcObBVPqoCHSGUkN52Y98HMA9LEcwtamW7n/rV1L2qKLKt1a9F/NLU
lN3CG9WU9k0FpRSBvzSgbS3WGkfn5YjS3DyxBFleXSDyJgD9mFzqT2k/ZayT0eFKgPY=</vt:lpwstr>
  </property>
</Properties>
</file>